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宋体" w:hAnsi="宋体" w:eastAsia="宋体" w:cs="宋体"/>
          <w:b/>
          <w:bCs/>
          <w:sz w:val="44"/>
          <w:szCs w:val="44"/>
        </w:rPr>
      </w:pPr>
      <w:r>
        <w:rPr>
          <w:rFonts w:hint="eastAsia" w:ascii="宋体" w:hAnsi="宋体" w:eastAsia="宋体" w:cs="宋体"/>
          <w:b/>
          <w:bCs/>
          <w:sz w:val="44"/>
          <w:szCs w:val="44"/>
        </w:rPr>
        <w:t>关于印发《辽宁省企业产学</w:t>
      </w:r>
      <w:bookmarkStart w:id="0" w:name="_GoBack"/>
      <w:bookmarkEnd w:id="0"/>
      <w:r>
        <w:rPr>
          <w:rFonts w:hint="eastAsia" w:ascii="宋体" w:hAnsi="宋体" w:eastAsia="宋体" w:cs="宋体"/>
          <w:b/>
          <w:bCs/>
          <w:sz w:val="44"/>
          <w:szCs w:val="44"/>
        </w:rPr>
        <w:t>研用技术创新</w:t>
      </w:r>
    </w:p>
    <w:p>
      <w:pPr>
        <w:spacing w:line="640" w:lineRule="exact"/>
        <w:jc w:val="center"/>
        <w:rPr>
          <w:rFonts w:ascii="宋体" w:hAnsi="宋体" w:eastAsia="宋体" w:cs="宋体"/>
          <w:b/>
          <w:bCs/>
          <w:sz w:val="44"/>
          <w:szCs w:val="44"/>
        </w:rPr>
      </w:pPr>
      <w:r>
        <w:rPr>
          <w:rFonts w:hint="eastAsia" w:ascii="宋体" w:hAnsi="宋体" w:eastAsia="宋体" w:cs="宋体"/>
          <w:b/>
          <w:bCs/>
          <w:sz w:val="44"/>
          <w:szCs w:val="44"/>
        </w:rPr>
        <w:t>联盟评价服务办法（试行）》的通知</w:t>
      </w:r>
    </w:p>
    <w:p>
      <w:pPr>
        <w:spacing w:line="640" w:lineRule="exact"/>
        <w:ind w:firstLine="720" w:firstLineChars="200"/>
        <w:rPr>
          <w:rFonts w:ascii="仿宋" w:hAnsi="仿宋" w:eastAsia="仿宋" w:cs="仿宋_GB2312"/>
          <w:sz w:val="36"/>
          <w:szCs w:val="36"/>
        </w:rPr>
      </w:pPr>
    </w:p>
    <w:p>
      <w:pPr>
        <w:spacing w:line="640" w:lineRule="exact"/>
        <w:rPr>
          <w:rFonts w:ascii="仿宋" w:hAnsi="仿宋" w:eastAsia="仿宋" w:cs="仿宋_GB2312"/>
          <w:sz w:val="32"/>
          <w:szCs w:val="32"/>
        </w:rPr>
      </w:pPr>
      <w:r>
        <w:rPr>
          <w:rFonts w:hint="eastAsia" w:ascii="仿宋" w:hAnsi="仿宋" w:eastAsia="仿宋" w:cs="仿宋_GB2312"/>
          <w:sz w:val="32"/>
          <w:szCs w:val="32"/>
        </w:rPr>
        <w:t>各市及沈抚示范区科技局、各有关单位：</w:t>
      </w:r>
    </w:p>
    <w:p>
      <w:pPr>
        <w:spacing w:line="640" w:lineRule="exact"/>
        <w:ind w:firstLine="720"/>
        <w:rPr>
          <w:rFonts w:ascii="仿宋" w:hAnsi="仿宋" w:eastAsia="仿宋" w:cs="仿宋_GB2312"/>
          <w:sz w:val="32"/>
          <w:szCs w:val="32"/>
        </w:rPr>
      </w:pPr>
      <w:r>
        <w:rPr>
          <w:rFonts w:hint="eastAsia" w:ascii="仿宋" w:hAnsi="仿宋" w:eastAsia="仿宋" w:cs="仿宋_GB2312"/>
          <w:sz w:val="32"/>
          <w:szCs w:val="32"/>
        </w:rPr>
        <w:t>按照省委省政府的工作部署，为进一步促进产学研深度融合，推动企业产学研用技术创新联盟发展，推动建立产学研市场化利益联结机制，省科技厅制定了《辽宁省企业产学研用技术创新联盟评价服务办法（试行）》。现将该办法印发给你们，请认真遵照执行。</w:t>
      </w:r>
    </w:p>
    <w:p>
      <w:pPr>
        <w:ind w:left="1470" w:leftChars="700" w:right="1440"/>
        <w:jc w:val="right"/>
        <w:rPr>
          <w:rFonts w:ascii="Times New Roman" w:hAnsi="Times New Roman" w:eastAsia="仿宋" w:cs="Times New Roman"/>
          <w:color w:val="000000" w:themeColor="text1"/>
          <w:sz w:val="32"/>
          <w:szCs w:val="32"/>
        </w:rPr>
      </w:pPr>
    </w:p>
    <w:p>
      <w:pPr>
        <w:ind w:left="1470" w:leftChars="700" w:right="1440"/>
        <w:jc w:val="right"/>
        <w:rPr>
          <w:rFonts w:ascii="Times New Roman" w:hAnsi="Times New Roman" w:eastAsia="仿宋" w:cs="Times New Roman"/>
          <w:color w:val="000000" w:themeColor="text1"/>
          <w:sz w:val="32"/>
          <w:szCs w:val="32"/>
        </w:rPr>
      </w:pPr>
      <w:r>
        <w:rPr>
          <w:rFonts w:hint="eastAsia" w:ascii="Times New Roman" w:hAnsi="Times New Roman" w:eastAsia="仿宋" w:cs="Times New Roman"/>
          <w:color w:val="000000" w:themeColor="text1"/>
          <w:sz w:val="32"/>
          <w:szCs w:val="32"/>
        </w:rPr>
        <w:t xml:space="preserve">    </w:t>
      </w:r>
    </w:p>
    <w:p>
      <w:pPr>
        <w:tabs>
          <w:tab w:val="left" w:pos="7629"/>
        </w:tabs>
        <w:ind w:left="1554" w:leftChars="740" w:right="1331"/>
        <w:jc w:val="right"/>
        <w:rPr>
          <w:rFonts w:ascii="Times New Roman" w:hAnsi="Times New Roman" w:eastAsia="仿宋" w:cs="Times New Roman"/>
          <w:color w:val="000000" w:themeColor="text1"/>
          <w:sz w:val="32"/>
          <w:szCs w:val="32"/>
        </w:rPr>
      </w:pPr>
      <w:r>
        <w:rPr>
          <w:rFonts w:hint="eastAsia" w:ascii="Times New Roman" w:hAnsi="Times New Roman" w:eastAsia="仿宋" w:cs="Times New Roman"/>
          <w:color w:val="000000" w:themeColor="text1"/>
          <w:sz w:val="32"/>
          <w:szCs w:val="32"/>
        </w:rPr>
        <w:t xml:space="preserve">     </w:t>
      </w:r>
      <w:r>
        <w:rPr>
          <w:rFonts w:ascii="Times New Roman" w:hAnsi="Times New Roman" w:eastAsia="仿宋" w:cs="Times New Roman"/>
          <w:color w:val="000000" w:themeColor="text1"/>
          <w:sz w:val="32"/>
          <w:szCs w:val="32"/>
        </w:rPr>
        <w:t>辽宁省科学技术厅</w:t>
      </w:r>
    </w:p>
    <w:p>
      <w:pPr>
        <w:ind w:left="1470" w:leftChars="700" w:firstLine="2659" w:firstLineChars="831"/>
        <w:jc w:val="left"/>
        <w:rPr>
          <w:rFonts w:ascii="Times New Roman" w:hAnsi="Times New Roman" w:eastAsia="仿宋" w:cs="Times New Roman"/>
          <w:color w:val="000000" w:themeColor="text1"/>
          <w:sz w:val="32"/>
          <w:szCs w:val="32"/>
        </w:rPr>
      </w:pPr>
      <w:r>
        <w:rPr>
          <w:rFonts w:ascii="Times New Roman" w:hAnsi="Times New Roman" w:eastAsia="仿宋" w:cs="Times New Roman"/>
          <w:color w:val="000000" w:themeColor="text1"/>
          <w:sz w:val="32"/>
          <w:szCs w:val="32"/>
        </w:rPr>
        <w:t xml:space="preserve">   </w:t>
      </w:r>
      <w:r>
        <w:rPr>
          <w:rFonts w:hint="eastAsia" w:ascii="Times New Roman" w:hAnsi="Times New Roman" w:eastAsia="仿宋" w:cs="Times New Roman"/>
          <w:color w:val="000000" w:themeColor="text1"/>
          <w:sz w:val="32"/>
          <w:szCs w:val="32"/>
        </w:rPr>
        <w:t xml:space="preserve"> </w:t>
      </w:r>
      <w:r>
        <w:rPr>
          <w:rFonts w:ascii="Times New Roman" w:hAnsi="Times New Roman" w:eastAsia="仿宋" w:cs="Times New Roman"/>
          <w:color w:val="000000" w:themeColor="text1"/>
          <w:sz w:val="32"/>
          <w:szCs w:val="32"/>
        </w:rPr>
        <w:t xml:space="preserve"> 2020年</w:t>
      </w:r>
      <w:r>
        <w:rPr>
          <w:rFonts w:hint="eastAsia" w:ascii="Times New Roman" w:hAnsi="Times New Roman" w:eastAsia="仿宋" w:cs="Times New Roman"/>
          <w:color w:val="000000" w:themeColor="text1"/>
          <w:sz w:val="32"/>
          <w:szCs w:val="32"/>
        </w:rPr>
        <w:t>12</w:t>
      </w:r>
      <w:r>
        <w:rPr>
          <w:rFonts w:ascii="Times New Roman" w:hAnsi="Times New Roman" w:eastAsia="仿宋" w:cs="Times New Roman"/>
          <w:color w:val="000000" w:themeColor="text1"/>
          <w:sz w:val="32"/>
          <w:szCs w:val="32"/>
        </w:rPr>
        <w:t>月</w:t>
      </w:r>
      <w:r>
        <w:rPr>
          <w:rFonts w:hint="eastAsia" w:ascii="Times New Roman" w:hAnsi="Times New Roman" w:eastAsia="仿宋" w:cs="Times New Roman"/>
          <w:color w:val="000000" w:themeColor="text1"/>
          <w:sz w:val="32"/>
          <w:szCs w:val="32"/>
          <w:lang w:val="en-US" w:eastAsia="zh-CN"/>
        </w:rPr>
        <w:t>--</w:t>
      </w:r>
      <w:r>
        <w:rPr>
          <w:rFonts w:ascii="Times New Roman" w:hAnsi="Times New Roman" w:eastAsia="仿宋" w:cs="Times New Roman"/>
          <w:color w:val="000000" w:themeColor="text1"/>
          <w:sz w:val="32"/>
          <w:szCs w:val="32"/>
        </w:rPr>
        <w:t>日</w:t>
      </w:r>
    </w:p>
    <w:p>
      <w:pPr>
        <w:rPr>
          <w:rFonts w:ascii="Times New Roman" w:hAnsi="Times New Roman" w:eastAsia="仿宋" w:cs="Times New Roman"/>
          <w:color w:val="000000" w:themeColor="text1"/>
          <w:sz w:val="32"/>
          <w:szCs w:val="32"/>
        </w:rPr>
      </w:pPr>
    </w:p>
    <w:p>
      <w:pPr>
        <w:ind w:left="1470" w:leftChars="700" w:firstLine="2659" w:firstLineChars="831"/>
        <w:jc w:val="left"/>
        <w:rPr>
          <w:rFonts w:ascii="Times New Roman" w:hAnsi="Times New Roman" w:eastAsia="仿宋" w:cs="Times New Roman"/>
          <w:color w:val="000000" w:themeColor="text1"/>
          <w:sz w:val="32"/>
          <w:szCs w:val="32"/>
        </w:rPr>
      </w:pPr>
    </w:p>
    <w:p>
      <w:pPr>
        <w:spacing w:line="640" w:lineRule="exact"/>
        <w:jc w:val="center"/>
        <w:rPr>
          <w:rFonts w:ascii="宋体" w:hAnsi="宋体" w:eastAsia="宋体" w:cs="宋体"/>
          <w:b/>
          <w:bCs/>
          <w:sz w:val="44"/>
          <w:szCs w:val="44"/>
        </w:rPr>
      </w:pPr>
      <w:r>
        <w:rPr>
          <w:rFonts w:hint="eastAsia" w:ascii="宋体" w:hAnsi="宋体" w:eastAsia="宋体" w:cs="宋体"/>
          <w:b/>
          <w:bCs/>
          <w:sz w:val="44"/>
          <w:szCs w:val="44"/>
        </w:rPr>
        <w:t>辽宁省企业产学研用技术创新联盟</w:t>
      </w:r>
    </w:p>
    <w:p>
      <w:pPr>
        <w:spacing w:line="640" w:lineRule="exact"/>
        <w:jc w:val="center"/>
        <w:rPr>
          <w:rFonts w:ascii="宋体" w:hAnsi="宋体" w:eastAsia="宋体" w:cs="宋体"/>
          <w:b/>
          <w:bCs/>
          <w:sz w:val="44"/>
          <w:szCs w:val="44"/>
        </w:rPr>
      </w:pPr>
      <w:r>
        <w:rPr>
          <w:rFonts w:hint="eastAsia" w:ascii="宋体" w:hAnsi="宋体" w:eastAsia="宋体" w:cs="宋体"/>
          <w:b/>
          <w:bCs/>
          <w:sz w:val="44"/>
          <w:szCs w:val="44"/>
        </w:rPr>
        <w:t>评价服务办法（试行）</w:t>
      </w:r>
    </w:p>
    <w:p>
      <w:pPr>
        <w:spacing w:line="640" w:lineRule="exact"/>
        <w:jc w:val="center"/>
        <w:rPr>
          <w:rFonts w:ascii="楷体" w:hAnsi="楷体" w:eastAsia="楷体" w:cs="宋体"/>
          <w:bCs/>
          <w:sz w:val="36"/>
          <w:szCs w:val="36"/>
        </w:rPr>
      </w:pPr>
    </w:p>
    <w:p>
      <w:pPr>
        <w:spacing w:line="640" w:lineRule="exact"/>
        <w:jc w:val="center"/>
        <w:rPr>
          <w:rFonts w:ascii="黑体" w:hAnsi="黑体" w:eastAsia="黑体" w:cs="仿宋"/>
          <w:bCs/>
          <w:sz w:val="36"/>
          <w:szCs w:val="36"/>
        </w:rPr>
      </w:pPr>
      <w:r>
        <w:rPr>
          <w:rFonts w:hint="eastAsia" w:ascii="黑体" w:hAnsi="黑体" w:eastAsia="黑体" w:cs="仿宋"/>
          <w:bCs/>
          <w:sz w:val="36"/>
          <w:szCs w:val="36"/>
        </w:rPr>
        <w:t>第一章  总则</w:t>
      </w:r>
    </w:p>
    <w:p>
      <w:pPr>
        <w:spacing w:line="580" w:lineRule="exact"/>
        <w:ind w:firstLine="720" w:firstLineChars="200"/>
        <w:rPr>
          <w:rFonts w:ascii="仿宋" w:hAnsi="仿宋" w:eastAsia="仿宋" w:cs="仿宋_GB2312"/>
          <w:sz w:val="36"/>
          <w:szCs w:val="36"/>
        </w:rPr>
      </w:pPr>
      <w:r>
        <w:rPr>
          <w:rFonts w:hint="eastAsia" w:ascii="仿宋" w:hAnsi="仿宋" w:eastAsia="仿宋" w:cs="仿宋_GB2312"/>
          <w:sz w:val="36"/>
          <w:szCs w:val="36"/>
        </w:rPr>
        <w:t>第一条  为贯彻落实省委、省政府决策部署，促进产学研深度融合，推动企业产学研用技术创新联盟发展，推动建立产学研市场化利益联结机制，特制定本办法。</w:t>
      </w:r>
    </w:p>
    <w:p>
      <w:pPr>
        <w:spacing w:line="580" w:lineRule="exact"/>
        <w:ind w:firstLine="720" w:firstLineChars="200"/>
        <w:rPr>
          <w:rFonts w:ascii="仿宋" w:hAnsi="仿宋" w:eastAsia="仿宋" w:cs="仿宋_GB2312"/>
          <w:sz w:val="36"/>
          <w:szCs w:val="36"/>
        </w:rPr>
      </w:pPr>
      <w:r>
        <w:rPr>
          <w:rFonts w:hint="eastAsia" w:ascii="仿宋" w:hAnsi="仿宋" w:eastAsia="仿宋" w:cs="仿宋_GB2312"/>
          <w:sz w:val="36"/>
          <w:szCs w:val="36"/>
        </w:rPr>
        <w:t>第二条  本办法所称的企业产学研用技术创新联盟</w:t>
      </w:r>
      <w:r>
        <w:rPr>
          <w:rFonts w:ascii="仿宋" w:hAnsi="仿宋" w:eastAsia="仿宋" w:cs="仿宋_GB2312"/>
          <w:sz w:val="36"/>
          <w:szCs w:val="36"/>
        </w:rPr>
        <w:t>（以下简称</w:t>
      </w:r>
      <w:r>
        <w:rPr>
          <w:rFonts w:hint="eastAsia" w:ascii="仿宋" w:hAnsi="仿宋" w:eastAsia="仿宋" w:cs="仿宋_GB2312"/>
          <w:sz w:val="36"/>
          <w:szCs w:val="36"/>
        </w:rPr>
        <w:t>“</w:t>
      </w:r>
      <w:r>
        <w:rPr>
          <w:rFonts w:ascii="仿宋" w:hAnsi="仿宋" w:eastAsia="仿宋" w:cs="仿宋_GB2312"/>
          <w:sz w:val="36"/>
          <w:szCs w:val="36"/>
        </w:rPr>
        <w:t>联盟</w:t>
      </w:r>
      <w:r>
        <w:rPr>
          <w:rFonts w:hint="eastAsia" w:ascii="仿宋" w:hAnsi="仿宋" w:eastAsia="仿宋" w:cs="仿宋_GB2312"/>
          <w:sz w:val="36"/>
          <w:szCs w:val="36"/>
        </w:rPr>
        <w:t>”</w:t>
      </w:r>
      <w:r>
        <w:rPr>
          <w:rFonts w:ascii="仿宋" w:hAnsi="仿宋" w:eastAsia="仿宋" w:cs="仿宋_GB2312"/>
          <w:sz w:val="36"/>
          <w:szCs w:val="36"/>
        </w:rPr>
        <w:t>）是指</w:t>
      </w:r>
      <w:r>
        <w:rPr>
          <w:rFonts w:hint="eastAsia" w:ascii="仿宋" w:hAnsi="仿宋" w:eastAsia="仿宋" w:cs="仿宋_GB2312"/>
          <w:sz w:val="36"/>
          <w:szCs w:val="36"/>
        </w:rPr>
        <w:t>由骨干企业做“盟主”，通过契约关系，把产业链上中下游、大中小企业和高校、科研院所、科技服务机构、金融机构等联结成利益共同体，</w:t>
      </w:r>
      <w:r>
        <w:rPr>
          <w:rFonts w:ascii="仿宋" w:hAnsi="仿宋" w:eastAsia="仿宋" w:cs="仿宋_GB2312"/>
          <w:sz w:val="36"/>
          <w:szCs w:val="36"/>
        </w:rPr>
        <w:t>以企业的发展需求和各方的共同利益为基础，以提升</w:t>
      </w:r>
      <w:r>
        <w:rPr>
          <w:rFonts w:hint="eastAsia" w:ascii="仿宋" w:hAnsi="仿宋" w:eastAsia="仿宋" w:cs="仿宋_GB2312"/>
          <w:sz w:val="36"/>
          <w:szCs w:val="36"/>
        </w:rPr>
        <w:t>企业技术创新能力</w:t>
      </w:r>
      <w:r>
        <w:rPr>
          <w:rFonts w:ascii="仿宋" w:hAnsi="仿宋" w:eastAsia="仿宋" w:cs="仿宋_GB2312"/>
          <w:sz w:val="36"/>
          <w:szCs w:val="36"/>
        </w:rPr>
        <w:t>为目标，以具有法律约束力的契约为保障，形成的联合开发、优势互补、利益共享、风险共担的创新联合体。</w:t>
      </w:r>
    </w:p>
    <w:p>
      <w:pPr>
        <w:spacing w:line="580" w:lineRule="exact"/>
        <w:ind w:firstLine="720" w:firstLineChars="200"/>
        <w:rPr>
          <w:rFonts w:ascii="仿宋" w:hAnsi="仿宋" w:eastAsia="仿宋" w:cs="仿宋_GB2312"/>
          <w:sz w:val="36"/>
          <w:szCs w:val="36"/>
        </w:rPr>
      </w:pPr>
      <w:r>
        <w:rPr>
          <w:rFonts w:hint="eastAsia" w:ascii="仿宋" w:hAnsi="仿宋" w:eastAsia="仿宋" w:cs="仿宋_GB2312"/>
          <w:sz w:val="36"/>
          <w:szCs w:val="36"/>
        </w:rPr>
        <w:t xml:space="preserve">第三条  </w:t>
      </w:r>
      <w:r>
        <w:rPr>
          <w:rFonts w:ascii="仿宋" w:hAnsi="仿宋" w:eastAsia="仿宋" w:cs="仿宋_GB2312"/>
          <w:sz w:val="36"/>
          <w:szCs w:val="36"/>
        </w:rPr>
        <w:t>联盟的构建要以有</w:t>
      </w:r>
      <w:r>
        <w:rPr>
          <w:rFonts w:hint="eastAsia" w:ascii="仿宋" w:hAnsi="仿宋" w:eastAsia="仿宋" w:cs="仿宋_GB2312"/>
          <w:sz w:val="36"/>
          <w:szCs w:val="36"/>
        </w:rPr>
        <w:t>助</w:t>
      </w:r>
      <w:r>
        <w:rPr>
          <w:rFonts w:ascii="仿宋" w:hAnsi="仿宋" w:eastAsia="仿宋" w:cs="仿宋_GB2312"/>
          <w:sz w:val="36"/>
          <w:szCs w:val="36"/>
        </w:rPr>
        <w:t>于</w:t>
      </w:r>
      <w:r>
        <w:rPr>
          <w:rFonts w:hint="eastAsia" w:ascii="仿宋" w:hAnsi="仿宋" w:eastAsia="仿宋" w:cs="仿宋_GB2312"/>
          <w:sz w:val="36"/>
          <w:szCs w:val="36"/>
        </w:rPr>
        <w:t>建设</w:t>
      </w:r>
      <w:r>
        <w:rPr>
          <w:rFonts w:ascii="仿宋" w:hAnsi="仿宋" w:eastAsia="仿宋" w:cs="仿宋_GB2312"/>
          <w:sz w:val="36"/>
          <w:szCs w:val="36"/>
        </w:rPr>
        <w:t>数字辽宁</w:t>
      </w:r>
      <w:r>
        <w:rPr>
          <w:rFonts w:hint="eastAsia" w:ascii="仿宋" w:hAnsi="仿宋" w:eastAsia="仿宋" w:cs="仿宋_GB2312"/>
          <w:sz w:val="36"/>
          <w:szCs w:val="36"/>
        </w:rPr>
        <w:t>、</w:t>
      </w:r>
      <w:r>
        <w:rPr>
          <w:rFonts w:ascii="仿宋" w:hAnsi="仿宋" w:eastAsia="仿宋" w:cs="仿宋_GB2312"/>
          <w:sz w:val="36"/>
          <w:szCs w:val="36"/>
        </w:rPr>
        <w:t>智造强省，以提升</w:t>
      </w:r>
      <w:r>
        <w:rPr>
          <w:rFonts w:hint="eastAsia" w:ascii="仿宋" w:hAnsi="仿宋" w:eastAsia="仿宋" w:cs="仿宋_GB2312"/>
          <w:sz w:val="36"/>
          <w:szCs w:val="36"/>
        </w:rPr>
        <w:t>企业技术创新能力</w:t>
      </w:r>
      <w:r>
        <w:rPr>
          <w:rFonts w:ascii="仿宋" w:hAnsi="仿宋" w:eastAsia="仿宋" w:cs="仿宋_GB2312"/>
          <w:sz w:val="36"/>
          <w:szCs w:val="36"/>
        </w:rPr>
        <w:t>为目标，以企业为主体，</w:t>
      </w:r>
      <w:r>
        <w:rPr>
          <w:rFonts w:hint="eastAsia" w:ascii="仿宋" w:hAnsi="仿宋" w:eastAsia="仿宋" w:cs="仿宋_GB2312"/>
          <w:sz w:val="36"/>
          <w:szCs w:val="36"/>
        </w:rPr>
        <w:t>围绕产业链部署创新链,围绕创新链布局产业链，</w:t>
      </w:r>
      <w:r>
        <w:rPr>
          <w:rFonts w:ascii="仿宋" w:hAnsi="仿宋" w:eastAsia="仿宋" w:cs="仿宋_GB2312"/>
          <w:sz w:val="36"/>
          <w:szCs w:val="36"/>
        </w:rPr>
        <w:t>运用市场机制集聚创新资源，实现</w:t>
      </w:r>
      <w:r>
        <w:rPr>
          <w:rFonts w:hint="eastAsia" w:ascii="仿宋" w:hAnsi="仿宋" w:eastAsia="仿宋" w:cs="仿宋_GB2312"/>
          <w:sz w:val="36"/>
          <w:szCs w:val="36"/>
        </w:rPr>
        <w:t>企业和高校、科研院所、科技服务机构、金融机构</w:t>
      </w:r>
      <w:r>
        <w:rPr>
          <w:rFonts w:ascii="仿宋" w:hAnsi="仿宋" w:eastAsia="仿宋" w:cs="仿宋_GB2312"/>
          <w:sz w:val="36"/>
          <w:szCs w:val="36"/>
        </w:rPr>
        <w:t>等在战略层面有效结合，共同突破产业发展的技术瓶颈。</w:t>
      </w:r>
    </w:p>
    <w:p>
      <w:pPr>
        <w:spacing w:line="580" w:lineRule="exact"/>
        <w:ind w:firstLine="720" w:firstLineChars="200"/>
        <w:rPr>
          <w:rFonts w:ascii="仿宋" w:hAnsi="仿宋" w:eastAsia="仿宋" w:cs="仿宋_GB2312"/>
          <w:sz w:val="36"/>
          <w:szCs w:val="36"/>
        </w:rPr>
      </w:pPr>
      <w:r>
        <w:rPr>
          <w:rFonts w:hint="eastAsia" w:ascii="仿宋" w:hAnsi="仿宋" w:eastAsia="仿宋" w:cs="仿宋_GB2312"/>
          <w:sz w:val="36"/>
          <w:szCs w:val="36"/>
        </w:rPr>
        <w:t>第四条  省科技厅委托第三方机构，按照市场导向、服务引领、公平公正、公开透明的原则，组织实施辽宁省产学研协同创新联盟评价服务工作。</w:t>
      </w:r>
    </w:p>
    <w:p>
      <w:pPr>
        <w:spacing w:line="580" w:lineRule="exact"/>
        <w:jc w:val="center"/>
        <w:rPr>
          <w:rFonts w:ascii="黑体" w:hAnsi="黑体" w:eastAsia="黑体" w:cs="Times New Roman"/>
          <w:bCs/>
          <w:sz w:val="36"/>
          <w:szCs w:val="36"/>
        </w:rPr>
      </w:pPr>
      <w:r>
        <w:rPr>
          <w:rFonts w:hint="eastAsia" w:ascii="黑体" w:hAnsi="黑体" w:eastAsia="黑体" w:cs="Times New Roman"/>
          <w:bCs/>
          <w:sz w:val="36"/>
          <w:szCs w:val="36"/>
        </w:rPr>
        <w:t>第二章</w:t>
      </w:r>
      <w:r>
        <w:rPr>
          <w:rFonts w:hint="eastAsia" w:ascii="宋体" w:hAnsi="宋体" w:eastAsia="宋体" w:cs="宋体"/>
          <w:bCs/>
          <w:sz w:val="36"/>
          <w:szCs w:val="36"/>
        </w:rPr>
        <w:t> </w:t>
      </w:r>
      <w:r>
        <w:rPr>
          <w:rFonts w:hint="eastAsia" w:ascii="黑体" w:hAnsi="黑体" w:eastAsia="黑体" w:cs="黑体"/>
          <w:bCs/>
          <w:sz w:val="36"/>
          <w:szCs w:val="36"/>
        </w:rPr>
        <w:t xml:space="preserve"> </w:t>
      </w:r>
      <w:r>
        <w:rPr>
          <w:rFonts w:hint="eastAsia" w:ascii="黑体" w:hAnsi="黑体" w:eastAsia="黑体" w:cs="Times New Roman"/>
          <w:bCs/>
          <w:sz w:val="36"/>
          <w:szCs w:val="36"/>
        </w:rPr>
        <w:t>基本条件</w:t>
      </w:r>
    </w:p>
    <w:p>
      <w:pPr>
        <w:adjustRightInd w:val="0"/>
        <w:snapToGrid w:val="0"/>
        <w:spacing w:line="580" w:lineRule="exact"/>
        <w:ind w:firstLine="720" w:firstLineChars="200"/>
        <w:rPr>
          <w:rFonts w:ascii="仿宋" w:hAnsi="仿宋" w:eastAsia="仿宋" w:cs="仿宋_GB2312"/>
          <w:sz w:val="36"/>
          <w:szCs w:val="36"/>
        </w:rPr>
      </w:pPr>
      <w:r>
        <w:rPr>
          <w:rFonts w:ascii="仿宋" w:hAnsi="仿宋" w:eastAsia="仿宋" w:cs="仿宋_GB2312"/>
          <w:sz w:val="36"/>
          <w:szCs w:val="36"/>
        </w:rPr>
        <w:t>第</w:t>
      </w:r>
      <w:r>
        <w:rPr>
          <w:rFonts w:hint="eastAsia" w:ascii="仿宋" w:hAnsi="仿宋" w:eastAsia="仿宋" w:cs="仿宋_GB2312"/>
          <w:sz w:val="36"/>
          <w:szCs w:val="36"/>
        </w:rPr>
        <w:t>五</w:t>
      </w:r>
      <w:r>
        <w:rPr>
          <w:rFonts w:ascii="仿宋" w:hAnsi="仿宋" w:eastAsia="仿宋" w:cs="仿宋_GB2312"/>
          <w:sz w:val="36"/>
          <w:szCs w:val="36"/>
        </w:rPr>
        <w:t>条</w:t>
      </w:r>
      <w:r>
        <w:rPr>
          <w:rFonts w:hint="eastAsia" w:ascii="仿宋" w:hAnsi="仿宋" w:eastAsia="仿宋" w:cs="仿宋_GB2312"/>
          <w:sz w:val="36"/>
          <w:szCs w:val="36"/>
        </w:rPr>
        <w:t xml:space="preserve">  </w:t>
      </w:r>
      <w:r>
        <w:rPr>
          <w:rFonts w:ascii="仿宋" w:hAnsi="仿宋" w:eastAsia="仿宋" w:cs="仿宋_GB2312"/>
          <w:sz w:val="36"/>
          <w:szCs w:val="36"/>
        </w:rPr>
        <w:t>联盟成立应当符合以下基本条件。</w:t>
      </w:r>
    </w:p>
    <w:p>
      <w:pPr>
        <w:adjustRightInd w:val="0"/>
        <w:snapToGrid w:val="0"/>
        <w:spacing w:line="580" w:lineRule="exact"/>
        <w:ind w:firstLine="720" w:firstLineChars="200"/>
        <w:rPr>
          <w:rFonts w:ascii="仿宋" w:hAnsi="仿宋" w:eastAsia="仿宋" w:cs="仿宋_GB2312"/>
          <w:sz w:val="36"/>
          <w:szCs w:val="36"/>
        </w:rPr>
      </w:pPr>
      <w:r>
        <w:rPr>
          <w:rFonts w:ascii="仿宋" w:hAnsi="仿宋" w:eastAsia="仿宋" w:cs="仿宋_GB2312"/>
          <w:sz w:val="36"/>
          <w:szCs w:val="36"/>
        </w:rPr>
        <w:t>（一）要由</w:t>
      </w:r>
      <w:r>
        <w:rPr>
          <w:rFonts w:hint="eastAsia" w:ascii="仿宋" w:hAnsi="仿宋" w:eastAsia="仿宋" w:cs="仿宋_GB2312"/>
          <w:sz w:val="36"/>
          <w:szCs w:val="36"/>
        </w:rPr>
        <w:t>企业和高校、科研院所、科技服务机构、金融机构等</w:t>
      </w:r>
      <w:r>
        <w:rPr>
          <w:rFonts w:ascii="仿宋" w:hAnsi="仿宋" w:eastAsia="仿宋" w:cs="仿宋_GB2312"/>
          <w:sz w:val="36"/>
          <w:szCs w:val="36"/>
        </w:rPr>
        <w:t>多个独立法人组成。企业应处于行业骨干地位；</w:t>
      </w:r>
      <w:r>
        <w:rPr>
          <w:rFonts w:hint="eastAsia" w:ascii="仿宋" w:hAnsi="仿宋" w:eastAsia="仿宋" w:cs="仿宋_GB2312"/>
          <w:sz w:val="36"/>
          <w:szCs w:val="36"/>
        </w:rPr>
        <w:t>高校、科研院所</w:t>
      </w:r>
      <w:r>
        <w:rPr>
          <w:rFonts w:ascii="仿宋" w:hAnsi="仿宋" w:eastAsia="仿宋" w:cs="仿宋_GB2312"/>
          <w:sz w:val="36"/>
          <w:szCs w:val="36"/>
        </w:rPr>
        <w:t>在合作的技术领域具有前沿水平；</w:t>
      </w:r>
      <w:r>
        <w:rPr>
          <w:rFonts w:hint="eastAsia" w:ascii="仿宋" w:hAnsi="仿宋" w:eastAsia="仿宋" w:cs="仿宋_GB2312"/>
          <w:sz w:val="36"/>
          <w:szCs w:val="36"/>
        </w:rPr>
        <w:t>科技服务机构、金融机构等</w:t>
      </w:r>
      <w:r>
        <w:rPr>
          <w:rFonts w:ascii="仿宋" w:hAnsi="仿宋" w:eastAsia="仿宋" w:cs="仿宋_GB2312"/>
          <w:sz w:val="36"/>
          <w:szCs w:val="36"/>
        </w:rPr>
        <w:t>可根据联盟技术创新的需要作为成员发挥积极的作用。</w:t>
      </w:r>
    </w:p>
    <w:p>
      <w:pPr>
        <w:adjustRightInd w:val="0"/>
        <w:snapToGrid w:val="0"/>
        <w:spacing w:line="580" w:lineRule="exact"/>
        <w:ind w:firstLine="720" w:firstLineChars="200"/>
        <w:rPr>
          <w:rFonts w:ascii="仿宋" w:hAnsi="仿宋" w:eastAsia="仿宋" w:cs="仿宋_GB2312"/>
          <w:sz w:val="36"/>
          <w:szCs w:val="36"/>
        </w:rPr>
      </w:pPr>
      <w:r>
        <w:rPr>
          <w:rFonts w:ascii="仿宋" w:hAnsi="仿宋" w:eastAsia="仿宋" w:cs="仿宋_GB2312"/>
          <w:sz w:val="36"/>
          <w:szCs w:val="36"/>
        </w:rPr>
        <w:t>（二）要有具有法律约束力的联盟协议，协议中有明确的技术创新目标，落实成员单位之间的任务分工。联盟协议必须由成员单位法定代表人共同签署生效。</w:t>
      </w:r>
    </w:p>
    <w:p>
      <w:pPr>
        <w:adjustRightInd w:val="0"/>
        <w:snapToGrid w:val="0"/>
        <w:spacing w:line="580" w:lineRule="exact"/>
        <w:ind w:firstLine="720" w:firstLineChars="200"/>
        <w:rPr>
          <w:rFonts w:ascii="仿宋" w:hAnsi="仿宋" w:eastAsia="仿宋" w:cs="仿宋_GB2312"/>
          <w:sz w:val="36"/>
          <w:szCs w:val="36"/>
        </w:rPr>
      </w:pPr>
      <w:r>
        <w:rPr>
          <w:rFonts w:ascii="仿宋" w:hAnsi="仿宋" w:eastAsia="仿宋" w:cs="仿宋_GB2312"/>
          <w:sz w:val="36"/>
          <w:szCs w:val="36"/>
        </w:rPr>
        <w:t>（三）要设立决策、咨询和执行等组织机构，建立有效的决策与执行机制，明确联盟对外承担责任的主体。联盟执行机构应配备专职人员，负责有关日常事务。</w:t>
      </w:r>
    </w:p>
    <w:p>
      <w:pPr>
        <w:adjustRightInd w:val="0"/>
        <w:snapToGrid w:val="0"/>
        <w:spacing w:line="580" w:lineRule="exact"/>
        <w:ind w:firstLine="720" w:firstLineChars="200"/>
        <w:rPr>
          <w:rFonts w:ascii="仿宋" w:hAnsi="仿宋" w:eastAsia="仿宋" w:cs="仿宋_GB2312"/>
          <w:sz w:val="36"/>
          <w:szCs w:val="36"/>
        </w:rPr>
      </w:pPr>
      <w:r>
        <w:rPr>
          <w:rFonts w:ascii="仿宋" w:hAnsi="仿宋" w:eastAsia="仿宋" w:cs="仿宋_GB2312"/>
          <w:sz w:val="36"/>
          <w:szCs w:val="36"/>
        </w:rPr>
        <w:t>（四）要健全经费管理制度。对联盟经费要制定相应的内部管理办法，并建立经费使用的内部监督机制。联盟可委托常设机构的依托单位管理联盟经费，政府资助经费的使用要按照相关规定执行，并接受有关部门的监督。</w:t>
      </w:r>
    </w:p>
    <w:p>
      <w:pPr>
        <w:adjustRightInd w:val="0"/>
        <w:snapToGrid w:val="0"/>
        <w:spacing w:line="580" w:lineRule="exact"/>
        <w:ind w:firstLine="720" w:firstLineChars="200"/>
        <w:rPr>
          <w:rFonts w:ascii="仿宋" w:hAnsi="仿宋" w:eastAsia="仿宋" w:cs="仿宋_GB2312"/>
          <w:sz w:val="36"/>
          <w:szCs w:val="36"/>
        </w:rPr>
      </w:pPr>
      <w:r>
        <w:rPr>
          <w:rFonts w:ascii="仿宋" w:hAnsi="仿宋" w:eastAsia="仿宋" w:cs="仿宋_GB2312"/>
          <w:sz w:val="36"/>
          <w:szCs w:val="36"/>
        </w:rPr>
        <w:t>（五）要建立利益保障机制。联盟研发项目产生的成果和知识产权应事先通过协议明确权利归属、许可使用和转化收益分配的办法，要强化违约责任追究，保护联盟成员的合法权益。</w:t>
      </w:r>
    </w:p>
    <w:p>
      <w:pPr>
        <w:adjustRightInd w:val="0"/>
        <w:snapToGrid w:val="0"/>
        <w:spacing w:line="580" w:lineRule="exact"/>
        <w:ind w:firstLine="720" w:firstLineChars="200"/>
        <w:rPr>
          <w:rFonts w:ascii="仿宋" w:hAnsi="仿宋" w:eastAsia="仿宋" w:cs="仿宋_GB2312"/>
          <w:sz w:val="36"/>
          <w:szCs w:val="36"/>
        </w:rPr>
      </w:pPr>
      <w:r>
        <w:rPr>
          <w:rFonts w:ascii="仿宋" w:hAnsi="仿宋" w:eastAsia="仿宋" w:cs="仿宋_GB2312"/>
          <w:sz w:val="36"/>
          <w:szCs w:val="36"/>
        </w:rPr>
        <w:t>（六）要建立开放发展机制。要根据发展需要及时吸收新成员，并积极开展与外部组织的交流与合作。联盟要建立成果扩散机制，对承担政府资助项目形成的成果有向联盟外扩散的义务。</w:t>
      </w:r>
    </w:p>
    <w:p>
      <w:pPr>
        <w:tabs>
          <w:tab w:val="center" w:pos="4153"/>
          <w:tab w:val="left" w:pos="6165"/>
        </w:tabs>
        <w:spacing w:line="580" w:lineRule="exact"/>
        <w:jc w:val="left"/>
        <w:rPr>
          <w:rFonts w:ascii="黑体" w:hAnsi="黑体" w:eastAsia="黑体" w:cs="Times New Roman"/>
          <w:bCs/>
          <w:sz w:val="36"/>
          <w:szCs w:val="36"/>
        </w:rPr>
      </w:pPr>
      <w:r>
        <w:rPr>
          <w:rFonts w:ascii="黑体" w:hAnsi="黑体" w:eastAsia="黑体" w:cs="Times New Roman"/>
          <w:bCs/>
          <w:sz w:val="36"/>
          <w:szCs w:val="36"/>
        </w:rPr>
        <w:tab/>
      </w:r>
      <w:r>
        <w:rPr>
          <w:rFonts w:hint="eastAsia" w:ascii="黑体" w:hAnsi="黑体" w:eastAsia="黑体" w:cs="Times New Roman"/>
          <w:bCs/>
          <w:sz w:val="36"/>
          <w:szCs w:val="36"/>
        </w:rPr>
        <w:t>第三章</w:t>
      </w:r>
      <w:r>
        <w:rPr>
          <w:rFonts w:hint="eastAsia" w:ascii="宋体" w:hAnsi="宋体" w:eastAsia="宋体" w:cs="宋体"/>
          <w:bCs/>
          <w:sz w:val="36"/>
          <w:szCs w:val="36"/>
        </w:rPr>
        <w:t> </w:t>
      </w:r>
      <w:r>
        <w:rPr>
          <w:rFonts w:hint="eastAsia" w:ascii="黑体" w:hAnsi="黑体" w:eastAsia="黑体" w:cs="黑体"/>
          <w:bCs/>
          <w:sz w:val="36"/>
          <w:szCs w:val="36"/>
        </w:rPr>
        <w:t xml:space="preserve"> </w:t>
      </w:r>
      <w:r>
        <w:rPr>
          <w:rFonts w:hint="eastAsia" w:ascii="黑体" w:hAnsi="黑体" w:eastAsia="黑体" w:cs="Times New Roman"/>
          <w:bCs/>
          <w:sz w:val="36"/>
          <w:szCs w:val="36"/>
        </w:rPr>
        <w:t>评价服务</w:t>
      </w:r>
      <w:r>
        <w:rPr>
          <w:rFonts w:ascii="黑体" w:hAnsi="黑体" w:eastAsia="黑体" w:cs="Times New Roman"/>
          <w:bCs/>
          <w:sz w:val="36"/>
          <w:szCs w:val="36"/>
        </w:rPr>
        <w:tab/>
      </w:r>
    </w:p>
    <w:p>
      <w:pPr>
        <w:adjustRightInd w:val="0"/>
        <w:snapToGrid w:val="0"/>
        <w:spacing w:line="580" w:lineRule="exact"/>
        <w:ind w:firstLine="720" w:firstLineChars="200"/>
        <w:rPr>
          <w:rFonts w:ascii="仿宋" w:hAnsi="仿宋" w:eastAsia="仿宋" w:cs="仿宋_GB2312"/>
          <w:sz w:val="36"/>
          <w:szCs w:val="36"/>
        </w:rPr>
      </w:pPr>
      <w:r>
        <w:rPr>
          <w:rFonts w:hint="eastAsia" w:ascii="仿宋" w:hAnsi="仿宋" w:eastAsia="仿宋" w:cs="仿宋_GB2312"/>
          <w:sz w:val="36"/>
          <w:szCs w:val="36"/>
        </w:rPr>
        <w:t>第六条  联盟的组建采取“自下而上”和“自上而下”相结合的方式。有意组建联盟的行业骨干企业可牵头组织相关企业、高校、科研院所、科技服务机构、金融机构等单位，对照本办法进行自评，符合条件的，经各市及沈抚示范区科技管理部门评估后，向省科技厅推荐；省科技厅也可结合省内相关领域科技创新工作实际情况，指导相关行业骨干企业牵头组织相关企业、高校、科研院所、科技服务机构、金融机构等单位组建联盟。</w:t>
      </w:r>
    </w:p>
    <w:p>
      <w:pPr>
        <w:adjustRightInd w:val="0"/>
        <w:snapToGrid w:val="0"/>
        <w:spacing w:line="580" w:lineRule="exact"/>
        <w:ind w:firstLine="720" w:firstLineChars="200"/>
        <w:rPr>
          <w:rFonts w:ascii="仿宋" w:hAnsi="仿宋" w:eastAsia="仿宋" w:cs="仿宋_GB2312"/>
          <w:sz w:val="36"/>
          <w:szCs w:val="36"/>
        </w:rPr>
      </w:pPr>
      <w:r>
        <w:rPr>
          <w:rFonts w:hint="eastAsia" w:ascii="仿宋" w:hAnsi="仿宋" w:eastAsia="仿宋" w:cs="仿宋_GB2312"/>
          <w:sz w:val="36"/>
          <w:szCs w:val="36"/>
        </w:rPr>
        <w:t>第七条  省科技厅委托第三方机构组织开展联盟评价工作。评价通过的联盟，在省科技厅网站公示。对公示无异议的联盟，省科技厅进行公告。</w:t>
      </w:r>
    </w:p>
    <w:p>
      <w:pPr>
        <w:adjustRightInd w:val="0"/>
        <w:snapToGrid w:val="0"/>
        <w:spacing w:line="580" w:lineRule="exact"/>
        <w:ind w:firstLine="720" w:firstLineChars="200"/>
        <w:rPr>
          <w:rFonts w:ascii="仿宋" w:hAnsi="仿宋" w:eastAsia="仿宋" w:cs="仿宋_GB2312"/>
          <w:sz w:val="36"/>
          <w:szCs w:val="36"/>
        </w:rPr>
      </w:pPr>
      <w:r>
        <w:rPr>
          <w:rFonts w:hint="eastAsia" w:ascii="仿宋" w:hAnsi="仿宋" w:eastAsia="仿宋" w:cs="仿宋_GB2312"/>
          <w:sz w:val="36"/>
          <w:szCs w:val="36"/>
        </w:rPr>
        <w:t>第八条  建立成员动态调整制度。联盟可根据发展需求，自主吸纳补充和动态调整成员单位，并于1个月内向省科技厅备案变化情况。</w:t>
      </w:r>
    </w:p>
    <w:p>
      <w:pPr>
        <w:adjustRightInd w:val="0"/>
        <w:snapToGrid w:val="0"/>
        <w:spacing w:line="580" w:lineRule="exact"/>
        <w:ind w:firstLine="720" w:firstLineChars="200"/>
        <w:rPr>
          <w:rFonts w:ascii="仿宋" w:hAnsi="仿宋" w:eastAsia="仿宋" w:cs="仿宋_GB2312"/>
          <w:sz w:val="36"/>
          <w:szCs w:val="36"/>
        </w:rPr>
      </w:pPr>
      <w:r>
        <w:rPr>
          <w:rFonts w:hint="eastAsia" w:ascii="仿宋" w:hAnsi="仿宋" w:eastAsia="仿宋" w:cs="仿宋_GB2312"/>
          <w:sz w:val="36"/>
          <w:szCs w:val="36"/>
        </w:rPr>
        <w:t>第九条  建立年度绩效评估制度。联盟每年向省科技厅提供当年度运行情况总结和下一年工作计划。省科技厅依据联盟年度运行情况进行评估，择优支持一批建设管理规范，创新资源共享，深化产学研合作，突破产业发展技术瓶颈，提升产业核心竞争力的联盟。对于评估结果优秀的联盟，给予盟主单位或者独立运营服务机构奖励性后补助支持。</w:t>
      </w:r>
    </w:p>
    <w:p>
      <w:pPr>
        <w:adjustRightInd w:val="0"/>
        <w:snapToGrid w:val="0"/>
        <w:spacing w:line="580" w:lineRule="exact"/>
        <w:ind w:firstLine="720" w:firstLineChars="200"/>
        <w:rPr>
          <w:rFonts w:ascii="仿宋" w:hAnsi="仿宋" w:eastAsia="仿宋" w:cs="Times New Roman"/>
          <w:spacing w:val="2"/>
          <w:sz w:val="36"/>
          <w:szCs w:val="36"/>
        </w:rPr>
      </w:pPr>
      <w:r>
        <w:rPr>
          <w:rFonts w:hint="eastAsia" w:ascii="仿宋" w:hAnsi="仿宋" w:eastAsia="仿宋" w:cs="仿宋_GB2312"/>
          <w:sz w:val="36"/>
          <w:szCs w:val="36"/>
        </w:rPr>
        <w:t xml:space="preserve">第十条  </w:t>
      </w:r>
      <w:r>
        <w:rPr>
          <w:rFonts w:hint="eastAsia" w:ascii="仿宋" w:hAnsi="仿宋" w:eastAsia="仿宋" w:cs="Times New Roman"/>
          <w:spacing w:val="2"/>
          <w:sz w:val="36"/>
          <w:szCs w:val="36"/>
        </w:rPr>
        <w:t>省科技厅将进一步鼓励联盟企业加大研发投入，落实企业基础研究投入税收优惠政策。同等条件下，优先支持联盟的盟主单位和主要成员单位联合承担省科技重大专项、重点研发计划等省级科技计划，围绕联盟建设一批科技创新平台特别是共性技术平台，积极将联盟成员合作成立的科技型企业纳入科技型企业梯度培育计划，培育一批“雏鹰”“瞪羚”“独角兽”和领军企业。</w:t>
      </w:r>
    </w:p>
    <w:p>
      <w:pPr>
        <w:spacing w:line="580" w:lineRule="exact"/>
        <w:jc w:val="center"/>
        <w:rPr>
          <w:rFonts w:ascii="黑体" w:hAnsi="黑体" w:eastAsia="黑体" w:cs="Times New Roman"/>
          <w:bCs/>
          <w:sz w:val="36"/>
          <w:szCs w:val="36"/>
        </w:rPr>
      </w:pPr>
      <w:r>
        <w:rPr>
          <w:rFonts w:hint="eastAsia" w:ascii="黑体" w:hAnsi="黑体" w:eastAsia="黑体" w:cs="Times New Roman"/>
          <w:bCs/>
          <w:sz w:val="36"/>
          <w:szCs w:val="36"/>
        </w:rPr>
        <w:t>第四章</w:t>
      </w:r>
      <w:r>
        <w:rPr>
          <w:rFonts w:hint="eastAsia" w:ascii="宋体" w:hAnsi="宋体" w:eastAsia="宋体" w:cs="宋体"/>
          <w:bCs/>
          <w:sz w:val="36"/>
          <w:szCs w:val="36"/>
        </w:rPr>
        <w:t> </w:t>
      </w:r>
      <w:r>
        <w:rPr>
          <w:rFonts w:hint="eastAsia" w:ascii="黑体" w:hAnsi="黑体" w:eastAsia="黑体" w:cs="黑体"/>
          <w:bCs/>
          <w:sz w:val="36"/>
          <w:szCs w:val="36"/>
        </w:rPr>
        <w:t xml:space="preserve"> </w:t>
      </w:r>
      <w:r>
        <w:rPr>
          <w:rFonts w:hint="eastAsia" w:ascii="黑体" w:hAnsi="黑体" w:eastAsia="黑体" w:cs="Times New Roman"/>
          <w:bCs/>
          <w:sz w:val="36"/>
          <w:szCs w:val="36"/>
        </w:rPr>
        <w:t>附则</w:t>
      </w:r>
    </w:p>
    <w:p>
      <w:pPr>
        <w:spacing w:line="580" w:lineRule="exact"/>
        <w:ind w:firstLine="720" w:firstLineChars="200"/>
        <w:rPr>
          <w:rFonts w:ascii="仿宋" w:hAnsi="仿宋" w:eastAsia="仿宋" w:cs="仿宋_GB2312"/>
          <w:sz w:val="36"/>
          <w:szCs w:val="36"/>
        </w:rPr>
      </w:pPr>
      <w:r>
        <w:rPr>
          <w:rFonts w:hint="eastAsia" w:ascii="仿宋" w:hAnsi="仿宋" w:eastAsia="仿宋" w:cs="仿宋_GB2312"/>
          <w:sz w:val="36"/>
          <w:szCs w:val="36"/>
        </w:rPr>
        <w:t>第十条 本办法由省科技厅负责解释。</w:t>
      </w:r>
    </w:p>
    <w:p>
      <w:pPr>
        <w:spacing w:line="580" w:lineRule="exact"/>
        <w:ind w:firstLine="720" w:firstLineChars="200"/>
        <w:rPr>
          <w:rFonts w:ascii="仿宋" w:hAnsi="仿宋" w:eastAsia="仿宋" w:cs="仿宋"/>
          <w:sz w:val="32"/>
          <w:szCs w:val="32"/>
        </w:rPr>
      </w:pPr>
      <w:r>
        <w:rPr>
          <w:rFonts w:hint="eastAsia" w:ascii="仿宋" w:hAnsi="仿宋" w:eastAsia="仿宋" w:cs="仿宋_GB2312"/>
          <w:sz w:val="36"/>
          <w:szCs w:val="36"/>
        </w:rPr>
        <w:t>第十一条 本办法自发布之日起施行。</w:t>
      </w:r>
    </w:p>
    <w:sectPr>
      <w:footerReference r:id="rId3" w:type="default"/>
      <w:footerReference r:id="rId4" w:type="even"/>
      <w:pgSz w:w="11906" w:h="16838"/>
      <w:pgMar w:top="2098" w:right="147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2454949"/>
    </w:sdtPr>
    <w:sdtContent>
      <w:p>
        <w:pPr>
          <w:pStyle w:val="9"/>
          <w:numPr>
            <w:ilvl w:val="0"/>
            <w:numId w:val="1"/>
          </w:numPr>
          <w:jc w:val="right"/>
          <w:rPr>
            <w:rFonts w:ascii="仿宋_GB2312" w:eastAsia="仿宋"/>
            <w:sz w:val="24"/>
            <w:szCs w:val="24"/>
          </w:rPr>
        </w:pPr>
        <w:r>
          <w:rPr>
            <w:rFonts w:hint="eastAsia" w:ascii="仿宋_GB2312" w:eastAsia="仿宋"/>
            <w:sz w:val="24"/>
            <w:szCs w:val="24"/>
          </w:rPr>
          <w:fldChar w:fldCharType="begin"/>
        </w:r>
        <w:r>
          <w:rPr>
            <w:rFonts w:hint="eastAsia" w:ascii="仿宋_GB2312" w:eastAsia="仿宋"/>
            <w:sz w:val="24"/>
            <w:szCs w:val="24"/>
          </w:rPr>
          <w:instrText xml:space="preserve"> PAGE  \* MERGEFORMAT </w:instrText>
        </w:r>
        <w:r>
          <w:rPr>
            <w:rFonts w:hint="eastAsia" w:ascii="仿宋_GB2312" w:eastAsia="仿宋"/>
            <w:sz w:val="24"/>
            <w:szCs w:val="24"/>
          </w:rPr>
          <w:fldChar w:fldCharType="separate"/>
        </w:r>
        <w:r>
          <w:rPr>
            <w:rFonts w:ascii="Times New Roman" w:hAnsi="Times New Roman" w:eastAsia="仿宋"/>
            <w:sz w:val="24"/>
            <w:szCs w:val="24"/>
          </w:rPr>
          <w:t>3</w:t>
        </w:r>
        <w:r>
          <w:rPr>
            <w:rFonts w:hint="eastAsia" w:ascii="仿宋_GB2312" w:eastAsia="仿宋"/>
            <w:sz w:val="24"/>
            <w:szCs w:val="24"/>
          </w:rPr>
          <w:fldChar w:fldCharType="end"/>
        </w:r>
        <w:r>
          <w:rPr>
            <w:rFonts w:hint="eastAsia" w:ascii="仿宋_GB2312" w:eastAsia="仿宋"/>
            <w:sz w:val="24"/>
            <w:szCs w:val="24"/>
          </w:rPr>
          <w:t xml:space="preserve"> —</w:t>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46205"/>
    </w:sdtPr>
    <w:sdtContent>
      <w:p>
        <w:pPr>
          <w:pStyle w:val="9"/>
          <w:numPr>
            <w:ilvl w:val="0"/>
            <w:numId w:val="1"/>
          </w:numPr>
          <w:rPr>
            <w:rFonts w:ascii="Calibri" w:hAnsi="Calibri" w:eastAsia="宋体"/>
            <w:sz w:val="21"/>
            <w:szCs w:val="22"/>
          </w:rPr>
        </w:pPr>
        <w:r>
          <w:rPr>
            <w:rFonts w:hint="eastAsia" w:ascii="仿宋_GB2312" w:eastAsia="仿宋"/>
            <w:sz w:val="24"/>
            <w:szCs w:val="24"/>
          </w:rPr>
          <w:fldChar w:fldCharType="begin"/>
        </w:r>
        <w:r>
          <w:rPr>
            <w:rFonts w:hint="eastAsia" w:ascii="仿宋_GB2312" w:eastAsia="仿宋"/>
            <w:sz w:val="24"/>
            <w:szCs w:val="24"/>
          </w:rPr>
          <w:instrText xml:space="preserve"> PAGE  \* MERGEFORMAT </w:instrText>
        </w:r>
        <w:r>
          <w:rPr>
            <w:rFonts w:hint="eastAsia" w:ascii="仿宋_GB2312" w:eastAsia="仿宋"/>
            <w:sz w:val="24"/>
            <w:szCs w:val="24"/>
          </w:rPr>
          <w:fldChar w:fldCharType="separate"/>
        </w:r>
        <w:r>
          <w:rPr>
            <w:rFonts w:ascii="Times New Roman" w:hAnsi="Times New Roman" w:eastAsia="仿宋"/>
            <w:sz w:val="24"/>
            <w:szCs w:val="24"/>
          </w:rPr>
          <w:t>4</w:t>
        </w:r>
        <w:r>
          <w:rPr>
            <w:rFonts w:hint="eastAsia" w:ascii="仿宋_GB2312" w:eastAsia="仿宋"/>
            <w:sz w:val="24"/>
            <w:szCs w:val="24"/>
          </w:rPr>
          <w:fldChar w:fldCharType="end"/>
        </w:r>
        <w:r>
          <w:rPr>
            <w:rFonts w:hint="eastAsia" w:ascii="仿宋_GB2312" w:eastAsia="仿宋"/>
            <w:sz w:val="24"/>
            <w:szCs w:val="24"/>
          </w:rPr>
          <w:t xml:space="preserve"> —</w:t>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891254"/>
    <w:multiLevelType w:val="multilevel"/>
    <w:tmpl w:val="26891254"/>
    <w:lvl w:ilvl="0" w:tentative="0">
      <w:start w:val="0"/>
      <w:numFmt w:val="bullet"/>
      <w:lvlText w:val="—"/>
      <w:lvlJc w:val="left"/>
      <w:pPr>
        <w:ind w:left="360" w:hanging="360"/>
      </w:pPr>
      <w:rPr>
        <w:rFonts w:hint="eastAsia" w:ascii="仿宋_GB2312" w:eastAsia="仿宋_GB2312" w:hAnsiTheme="minorHAnsi" w:cstheme="minorBid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2683C"/>
    <w:rsid w:val="00003CA8"/>
    <w:rsid w:val="000102D6"/>
    <w:rsid w:val="00010FD9"/>
    <w:rsid w:val="00013F6E"/>
    <w:rsid w:val="000239DA"/>
    <w:rsid w:val="00027A42"/>
    <w:rsid w:val="00041CBA"/>
    <w:rsid w:val="00061FB7"/>
    <w:rsid w:val="00083FB8"/>
    <w:rsid w:val="0009429B"/>
    <w:rsid w:val="00094BF1"/>
    <w:rsid w:val="000A6BF0"/>
    <w:rsid w:val="000B5C80"/>
    <w:rsid w:val="000C4DC1"/>
    <w:rsid w:val="000D419F"/>
    <w:rsid w:val="000E5FB0"/>
    <w:rsid w:val="000F6773"/>
    <w:rsid w:val="00106617"/>
    <w:rsid w:val="00113EC7"/>
    <w:rsid w:val="00124124"/>
    <w:rsid w:val="00136467"/>
    <w:rsid w:val="001403C8"/>
    <w:rsid w:val="0014337A"/>
    <w:rsid w:val="001458BC"/>
    <w:rsid w:val="001463E4"/>
    <w:rsid w:val="001525FE"/>
    <w:rsid w:val="0019013B"/>
    <w:rsid w:val="001A13AD"/>
    <w:rsid w:val="001A17A6"/>
    <w:rsid w:val="001A26AE"/>
    <w:rsid w:val="001A54B6"/>
    <w:rsid w:val="001A7448"/>
    <w:rsid w:val="001B03C9"/>
    <w:rsid w:val="001D5294"/>
    <w:rsid w:val="002067D7"/>
    <w:rsid w:val="0021048C"/>
    <w:rsid w:val="00215C0C"/>
    <w:rsid w:val="00221569"/>
    <w:rsid w:val="00224ECA"/>
    <w:rsid w:val="0025129D"/>
    <w:rsid w:val="00253CFF"/>
    <w:rsid w:val="0025739C"/>
    <w:rsid w:val="002937F7"/>
    <w:rsid w:val="00296AE4"/>
    <w:rsid w:val="002A15B9"/>
    <w:rsid w:val="002A1716"/>
    <w:rsid w:val="002B000F"/>
    <w:rsid w:val="002C0A34"/>
    <w:rsid w:val="002C19B6"/>
    <w:rsid w:val="002D2996"/>
    <w:rsid w:val="002D31B0"/>
    <w:rsid w:val="002E11CE"/>
    <w:rsid w:val="002E58D2"/>
    <w:rsid w:val="003074E5"/>
    <w:rsid w:val="00312A79"/>
    <w:rsid w:val="00322681"/>
    <w:rsid w:val="00333AEE"/>
    <w:rsid w:val="0033611B"/>
    <w:rsid w:val="00350102"/>
    <w:rsid w:val="003736B3"/>
    <w:rsid w:val="00374880"/>
    <w:rsid w:val="0038062D"/>
    <w:rsid w:val="0038612C"/>
    <w:rsid w:val="00387A38"/>
    <w:rsid w:val="003A01FC"/>
    <w:rsid w:val="003A54D2"/>
    <w:rsid w:val="003B05BC"/>
    <w:rsid w:val="003B51C5"/>
    <w:rsid w:val="003B79F5"/>
    <w:rsid w:val="003D0F7B"/>
    <w:rsid w:val="003D22AC"/>
    <w:rsid w:val="00402B06"/>
    <w:rsid w:val="00414758"/>
    <w:rsid w:val="00425C63"/>
    <w:rsid w:val="004533E5"/>
    <w:rsid w:val="00473CFA"/>
    <w:rsid w:val="00497618"/>
    <w:rsid w:val="004A57C8"/>
    <w:rsid w:val="004F2FEA"/>
    <w:rsid w:val="004F5F79"/>
    <w:rsid w:val="0052013D"/>
    <w:rsid w:val="005249FD"/>
    <w:rsid w:val="00533311"/>
    <w:rsid w:val="005424A2"/>
    <w:rsid w:val="00550E21"/>
    <w:rsid w:val="00552B50"/>
    <w:rsid w:val="00562111"/>
    <w:rsid w:val="00573C05"/>
    <w:rsid w:val="00573ECC"/>
    <w:rsid w:val="00577583"/>
    <w:rsid w:val="00584280"/>
    <w:rsid w:val="00592D6C"/>
    <w:rsid w:val="00592ECC"/>
    <w:rsid w:val="00594572"/>
    <w:rsid w:val="005A5C63"/>
    <w:rsid w:val="005B70DB"/>
    <w:rsid w:val="005B7F0F"/>
    <w:rsid w:val="005C226B"/>
    <w:rsid w:val="005C5A95"/>
    <w:rsid w:val="005C768B"/>
    <w:rsid w:val="005C778D"/>
    <w:rsid w:val="005D25FA"/>
    <w:rsid w:val="005E2B38"/>
    <w:rsid w:val="005F2DE5"/>
    <w:rsid w:val="00623532"/>
    <w:rsid w:val="00627111"/>
    <w:rsid w:val="00635DD6"/>
    <w:rsid w:val="00637F87"/>
    <w:rsid w:val="00640377"/>
    <w:rsid w:val="00642484"/>
    <w:rsid w:val="00643721"/>
    <w:rsid w:val="00644C21"/>
    <w:rsid w:val="00651578"/>
    <w:rsid w:val="00657880"/>
    <w:rsid w:val="006620D6"/>
    <w:rsid w:val="00662188"/>
    <w:rsid w:val="00665961"/>
    <w:rsid w:val="00670EDD"/>
    <w:rsid w:val="00674988"/>
    <w:rsid w:val="006755BF"/>
    <w:rsid w:val="006A7389"/>
    <w:rsid w:val="006B67A0"/>
    <w:rsid w:val="006C752C"/>
    <w:rsid w:val="006F049A"/>
    <w:rsid w:val="006F2196"/>
    <w:rsid w:val="006F3AFE"/>
    <w:rsid w:val="007022B8"/>
    <w:rsid w:val="00705DFC"/>
    <w:rsid w:val="007150B1"/>
    <w:rsid w:val="00720700"/>
    <w:rsid w:val="00730959"/>
    <w:rsid w:val="00733D19"/>
    <w:rsid w:val="007514F8"/>
    <w:rsid w:val="007535D0"/>
    <w:rsid w:val="00753D64"/>
    <w:rsid w:val="00762D5F"/>
    <w:rsid w:val="00764C5C"/>
    <w:rsid w:val="0078229C"/>
    <w:rsid w:val="00786B9F"/>
    <w:rsid w:val="00796934"/>
    <w:rsid w:val="007972A1"/>
    <w:rsid w:val="007A3F6C"/>
    <w:rsid w:val="007C3901"/>
    <w:rsid w:val="007D371C"/>
    <w:rsid w:val="007D6EF8"/>
    <w:rsid w:val="007E7F41"/>
    <w:rsid w:val="00800719"/>
    <w:rsid w:val="00800B6F"/>
    <w:rsid w:val="00801CE0"/>
    <w:rsid w:val="0080343C"/>
    <w:rsid w:val="00805EDA"/>
    <w:rsid w:val="00807EF4"/>
    <w:rsid w:val="00812168"/>
    <w:rsid w:val="00814499"/>
    <w:rsid w:val="0082769E"/>
    <w:rsid w:val="00832FA6"/>
    <w:rsid w:val="00833295"/>
    <w:rsid w:val="008433AD"/>
    <w:rsid w:val="008505FF"/>
    <w:rsid w:val="00850605"/>
    <w:rsid w:val="00850AC1"/>
    <w:rsid w:val="00863AFF"/>
    <w:rsid w:val="00871263"/>
    <w:rsid w:val="008813A2"/>
    <w:rsid w:val="00887716"/>
    <w:rsid w:val="008A43AA"/>
    <w:rsid w:val="008A4E6A"/>
    <w:rsid w:val="008C2B16"/>
    <w:rsid w:val="008D1FF3"/>
    <w:rsid w:val="008E69B3"/>
    <w:rsid w:val="008F0F4E"/>
    <w:rsid w:val="00902B0B"/>
    <w:rsid w:val="0090796F"/>
    <w:rsid w:val="00921610"/>
    <w:rsid w:val="009328E8"/>
    <w:rsid w:val="00934B39"/>
    <w:rsid w:val="00936FDB"/>
    <w:rsid w:val="00941D2D"/>
    <w:rsid w:val="00942669"/>
    <w:rsid w:val="0094492F"/>
    <w:rsid w:val="00950ABB"/>
    <w:rsid w:val="00955AFF"/>
    <w:rsid w:val="00956318"/>
    <w:rsid w:val="0096426D"/>
    <w:rsid w:val="009745A4"/>
    <w:rsid w:val="00976B04"/>
    <w:rsid w:val="009846F4"/>
    <w:rsid w:val="00990B40"/>
    <w:rsid w:val="00991CD6"/>
    <w:rsid w:val="00994520"/>
    <w:rsid w:val="009962F1"/>
    <w:rsid w:val="009B3AA0"/>
    <w:rsid w:val="009D76BB"/>
    <w:rsid w:val="009E1BBF"/>
    <w:rsid w:val="009E3C99"/>
    <w:rsid w:val="00A13894"/>
    <w:rsid w:val="00A24DD3"/>
    <w:rsid w:val="00A25844"/>
    <w:rsid w:val="00A27F6E"/>
    <w:rsid w:val="00A46E5F"/>
    <w:rsid w:val="00A55536"/>
    <w:rsid w:val="00A73CFF"/>
    <w:rsid w:val="00A80178"/>
    <w:rsid w:val="00AA570E"/>
    <w:rsid w:val="00AB027F"/>
    <w:rsid w:val="00AB1B70"/>
    <w:rsid w:val="00AB4F8B"/>
    <w:rsid w:val="00AE3B6B"/>
    <w:rsid w:val="00AE7C90"/>
    <w:rsid w:val="00AF0B6D"/>
    <w:rsid w:val="00AF12C3"/>
    <w:rsid w:val="00B023AB"/>
    <w:rsid w:val="00B070B2"/>
    <w:rsid w:val="00B1080C"/>
    <w:rsid w:val="00B111F7"/>
    <w:rsid w:val="00B13DE7"/>
    <w:rsid w:val="00B154F5"/>
    <w:rsid w:val="00B17941"/>
    <w:rsid w:val="00B26C1D"/>
    <w:rsid w:val="00B32518"/>
    <w:rsid w:val="00B36E10"/>
    <w:rsid w:val="00B36F32"/>
    <w:rsid w:val="00B42B11"/>
    <w:rsid w:val="00B459A5"/>
    <w:rsid w:val="00B50F75"/>
    <w:rsid w:val="00B56FAC"/>
    <w:rsid w:val="00B7016E"/>
    <w:rsid w:val="00B7717B"/>
    <w:rsid w:val="00B84DE1"/>
    <w:rsid w:val="00BA1EA4"/>
    <w:rsid w:val="00BE72B1"/>
    <w:rsid w:val="00BE7573"/>
    <w:rsid w:val="00BE7C16"/>
    <w:rsid w:val="00BF6FF5"/>
    <w:rsid w:val="00C05CB6"/>
    <w:rsid w:val="00C240E7"/>
    <w:rsid w:val="00C253A7"/>
    <w:rsid w:val="00C2683C"/>
    <w:rsid w:val="00C45FAF"/>
    <w:rsid w:val="00C53E18"/>
    <w:rsid w:val="00C540DF"/>
    <w:rsid w:val="00C60E96"/>
    <w:rsid w:val="00C66584"/>
    <w:rsid w:val="00C74B16"/>
    <w:rsid w:val="00C757D4"/>
    <w:rsid w:val="00C76625"/>
    <w:rsid w:val="00CA43EB"/>
    <w:rsid w:val="00CB0E8A"/>
    <w:rsid w:val="00CB1666"/>
    <w:rsid w:val="00CB3CE0"/>
    <w:rsid w:val="00CB44C9"/>
    <w:rsid w:val="00CB46D8"/>
    <w:rsid w:val="00CC5A1B"/>
    <w:rsid w:val="00CD232F"/>
    <w:rsid w:val="00CD4881"/>
    <w:rsid w:val="00CE01FC"/>
    <w:rsid w:val="00CE5457"/>
    <w:rsid w:val="00CE55F3"/>
    <w:rsid w:val="00D03C8A"/>
    <w:rsid w:val="00D11750"/>
    <w:rsid w:val="00D20DEC"/>
    <w:rsid w:val="00D42375"/>
    <w:rsid w:val="00D4316D"/>
    <w:rsid w:val="00D44B74"/>
    <w:rsid w:val="00D46917"/>
    <w:rsid w:val="00D513B2"/>
    <w:rsid w:val="00D6534C"/>
    <w:rsid w:val="00D77BD0"/>
    <w:rsid w:val="00D843F9"/>
    <w:rsid w:val="00D84724"/>
    <w:rsid w:val="00D92DFC"/>
    <w:rsid w:val="00DA38DC"/>
    <w:rsid w:val="00DB2C53"/>
    <w:rsid w:val="00DB3CF8"/>
    <w:rsid w:val="00DD0AFA"/>
    <w:rsid w:val="00DD514A"/>
    <w:rsid w:val="00DD5FC7"/>
    <w:rsid w:val="00DE022D"/>
    <w:rsid w:val="00DF0916"/>
    <w:rsid w:val="00DF0E31"/>
    <w:rsid w:val="00DF4171"/>
    <w:rsid w:val="00E071C5"/>
    <w:rsid w:val="00E455C3"/>
    <w:rsid w:val="00E55E5D"/>
    <w:rsid w:val="00E6493F"/>
    <w:rsid w:val="00E95416"/>
    <w:rsid w:val="00E95BD8"/>
    <w:rsid w:val="00EA2B2B"/>
    <w:rsid w:val="00EB04FE"/>
    <w:rsid w:val="00ED19F5"/>
    <w:rsid w:val="00EE1CA2"/>
    <w:rsid w:val="00EE61E3"/>
    <w:rsid w:val="00F03A6E"/>
    <w:rsid w:val="00F05AAB"/>
    <w:rsid w:val="00F3710C"/>
    <w:rsid w:val="00F47071"/>
    <w:rsid w:val="00F525F9"/>
    <w:rsid w:val="00F534B3"/>
    <w:rsid w:val="00F623E9"/>
    <w:rsid w:val="00F67ADE"/>
    <w:rsid w:val="00F85257"/>
    <w:rsid w:val="00FB35F9"/>
    <w:rsid w:val="00FB731B"/>
    <w:rsid w:val="00FC0FB0"/>
    <w:rsid w:val="00FC1852"/>
    <w:rsid w:val="00FC7C91"/>
    <w:rsid w:val="00FD3376"/>
    <w:rsid w:val="00FD7021"/>
    <w:rsid w:val="00FD7DD5"/>
    <w:rsid w:val="00FF6C5C"/>
    <w:rsid w:val="04FB209C"/>
    <w:rsid w:val="187334BE"/>
    <w:rsid w:val="25844B0A"/>
    <w:rsid w:val="28092C87"/>
    <w:rsid w:val="2A2F1BF6"/>
    <w:rsid w:val="2E6A747E"/>
    <w:rsid w:val="32B469E1"/>
    <w:rsid w:val="3BE70DB0"/>
    <w:rsid w:val="42CC7016"/>
    <w:rsid w:val="446A3D97"/>
    <w:rsid w:val="471C5A24"/>
    <w:rsid w:val="482762C2"/>
    <w:rsid w:val="4B666EF2"/>
    <w:rsid w:val="53C143F4"/>
    <w:rsid w:val="5AEA0FB4"/>
    <w:rsid w:val="5D006374"/>
    <w:rsid w:val="62B3144E"/>
    <w:rsid w:val="63612E1B"/>
    <w:rsid w:val="652D33D0"/>
    <w:rsid w:val="67A04BE1"/>
    <w:rsid w:val="6ECB6F28"/>
    <w:rsid w:val="75B92790"/>
    <w:rsid w:val="7EB64B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0"/>
    <w:semiHidden/>
    <w:unhideWhenUsed/>
    <w:qFormat/>
    <w:uiPriority w:val="99"/>
    <w:rPr>
      <w:rFonts w:ascii="宋体" w:eastAsia="宋体"/>
      <w:sz w:val="18"/>
      <w:szCs w:val="18"/>
    </w:rPr>
  </w:style>
  <w:style w:type="paragraph" w:styleId="5">
    <w:name w:val="Body Text"/>
    <w:basedOn w:val="1"/>
    <w:link w:val="27"/>
    <w:semiHidden/>
    <w:unhideWhenUsed/>
    <w:qFormat/>
    <w:uiPriority w:val="99"/>
    <w:pPr>
      <w:spacing w:after="120"/>
    </w:pPr>
  </w:style>
  <w:style w:type="paragraph" w:styleId="6">
    <w:name w:val="Body Text Indent"/>
    <w:basedOn w:val="1"/>
    <w:link w:val="24"/>
    <w:qFormat/>
    <w:uiPriority w:val="99"/>
    <w:pPr>
      <w:spacing w:line="480" w:lineRule="auto"/>
      <w:ind w:firstLine="600" w:firstLineChars="200"/>
    </w:pPr>
    <w:rPr>
      <w:rFonts w:ascii="仿宋_GB2312" w:hAnsi="Times New Roman" w:eastAsia="仿宋_GB2312" w:cs="Times New Roman"/>
      <w:sz w:val="30"/>
      <w:szCs w:val="24"/>
    </w:rPr>
  </w:style>
  <w:style w:type="paragraph" w:styleId="7">
    <w:name w:val="Date"/>
    <w:basedOn w:val="1"/>
    <w:next w:val="1"/>
    <w:link w:val="23"/>
    <w:semiHidden/>
    <w:unhideWhenUsed/>
    <w:qFormat/>
    <w:uiPriority w:val="99"/>
    <w:pPr>
      <w:ind w:left="100" w:leftChars="2500"/>
    </w:pPr>
  </w:style>
  <w:style w:type="paragraph" w:styleId="8">
    <w:name w:val="Balloon Text"/>
    <w:basedOn w:val="1"/>
    <w:link w:val="19"/>
    <w:unhideWhenUsed/>
    <w:qFormat/>
    <w:uiPriority w:val="99"/>
    <w:rPr>
      <w:sz w:val="18"/>
      <w:szCs w:val="18"/>
    </w:rPr>
  </w:style>
  <w:style w:type="paragraph" w:styleId="9">
    <w:name w:val="footer"/>
    <w:basedOn w:val="1"/>
    <w:link w:val="21"/>
    <w:unhideWhenUsed/>
    <w:qFormat/>
    <w:uiPriority w:val="0"/>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rPr>
      <w:b/>
    </w:rPr>
  </w:style>
  <w:style w:type="character" w:styleId="16">
    <w:name w:val="Hyperlink"/>
    <w:unhideWhenUsed/>
    <w:qFormat/>
    <w:uiPriority w:val="99"/>
    <w:rPr>
      <w:color w:val="0563C1"/>
      <w:u w:val="single"/>
    </w:rPr>
  </w:style>
  <w:style w:type="character" w:customStyle="1" w:styleId="17">
    <w:name w:val="标题 2 Char"/>
    <w:basedOn w:val="14"/>
    <w:link w:val="3"/>
    <w:qFormat/>
    <w:uiPriority w:val="9"/>
    <w:rPr>
      <w:rFonts w:ascii="宋体" w:hAnsi="宋体" w:eastAsia="宋体" w:cs="宋体"/>
      <w:b/>
      <w:bCs/>
      <w:kern w:val="0"/>
      <w:sz w:val="36"/>
      <w:szCs w:val="36"/>
    </w:rPr>
  </w:style>
  <w:style w:type="paragraph" w:customStyle="1" w:styleId="18">
    <w:name w:val="列出段落1"/>
    <w:basedOn w:val="1"/>
    <w:qFormat/>
    <w:uiPriority w:val="34"/>
    <w:pPr>
      <w:ind w:firstLine="420" w:firstLineChars="200"/>
    </w:pPr>
  </w:style>
  <w:style w:type="character" w:customStyle="1" w:styleId="19">
    <w:name w:val="批注框文本 Char"/>
    <w:basedOn w:val="14"/>
    <w:link w:val="8"/>
    <w:semiHidden/>
    <w:qFormat/>
    <w:uiPriority w:val="99"/>
    <w:rPr>
      <w:sz w:val="18"/>
      <w:szCs w:val="18"/>
    </w:rPr>
  </w:style>
  <w:style w:type="character" w:customStyle="1" w:styleId="20">
    <w:name w:val="页眉 Char"/>
    <w:basedOn w:val="14"/>
    <w:link w:val="10"/>
    <w:qFormat/>
    <w:uiPriority w:val="99"/>
    <w:rPr>
      <w:sz w:val="18"/>
      <w:szCs w:val="18"/>
    </w:rPr>
  </w:style>
  <w:style w:type="character" w:customStyle="1" w:styleId="21">
    <w:name w:val="页脚 Char"/>
    <w:basedOn w:val="14"/>
    <w:link w:val="9"/>
    <w:qFormat/>
    <w:uiPriority w:val="0"/>
    <w:rPr>
      <w:sz w:val="18"/>
      <w:szCs w:val="18"/>
    </w:rPr>
  </w:style>
  <w:style w:type="character" w:customStyle="1" w:styleId="22">
    <w:name w:val="NormalCharacter"/>
    <w:qFormat/>
    <w:uiPriority w:val="0"/>
  </w:style>
  <w:style w:type="character" w:customStyle="1" w:styleId="23">
    <w:name w:val="日期 Char"/>
    <w:basedOn w:val="14"/>
    <w:link w:val="7"/>
    <w:semiHidden/>
    <w:qFormat/>
    <w:uiPriority w:val="99"/>
    <w:rPr>
      <w:rFonts w:asciiTheme="minorHAnsi" w:hAnsiTheme="minorHAnsi" w:eastAsiaTheme="minorEastAsia" w:cstheme="minorBidi"/>
      <w:kern w:val="2"/>
      <w:sz w:val="21"/>
      <w:szCs w:val="22"/>
    </w:rPr>
  </w:style>
  <w:style w:type="character" w:customStyle="1" w:styleId="24">
    <w:name w:val="正文文本缩进 Char"/>
    <w:basedOn w:val="14"/>
    <w:link w:val="6"/>
    <w:qFormat/>
    <w:uiPriority w:val="99"/>
    <w:rPr>
      <w:rFonts w:ascii="仿宋_GB2312" w:eastAsia="仿宋_GB2312"/>
      <w:kern w:val="2"/>
      <w:sz w:val="30"/>
      <w:szCs w:val="24"/>
    </w:rPr>
  </w:style>
  <w:style w:type="paragraph" w:customStyle="1" w:styleId="25">
    <w:name w:val="govxltitle"/>
    <w:basedOn w:val="1"/>
    <w:qFormat/>
    <w:uiPriority w:val="0"/>
    <w:pPr>
      <w:spacing w:after="600"/>
      <w:jc w:val="center"/>
    </w:pPr>
    <w:rPr>
      <w:rFonts w:ascii="Calibri" w:hAnsi="Calibri" w:eastAsia="宋体" w:cs="Times New Roman"/>
      <w:kern w:val="0"/>
      <w:sz w:val="30"/>
      <w:szCs w:val="30"/>
    </w:rPr>
  </w:style>
  <w:style w:type="character" w:customStyle="1" w:styleId="26">
    <w:name w:val="标题 1 Char"/>
    <w:basedOn w:val="14"/>
    <w:link w:val="2"/>
    <w:qFormat/>
    <w:uiPriority w:val="9"/>
    <w:rPr>
      <w:rFonts w:asciiTheme="minorHAnsi" w:hAnsiTheme="minorHAnsi" w:eastAsiaTheme="minorEastAsia" w:cstheme="minorBidi"/>
      <w:b/>
      <w:bCs/>
      <w:kern w:val="44"/>
      <w:sz w:val="44"/>
      <w:szCs w:val="44"/>
    </w:rPr>
  </w:style>
  <w:style w:type="character" w:customStyle="1" w:styleId="27">
    <w:name w:val="正文文本 Char"/>
    <w:basedOn w:val="14"/>
    <w:link w:val="5"/>
    <w:semiHidden/>
    <w:qFormat/>
    <w:uiPriority w:val="99"/>
    <w:rPr>
      <w:rFonts w:asciiTheme="minorHAnsi" w:hAnsiTheme="minorHAnsi" w:eastAsiaTheme="minorEastAsia" w:cstheme="minorBidi"/>
      <w:kern w:val="2"/>
      <w:sz w:val="21"/>
      <w:szCs w:val="22"/>
    </w:rPr>
  </w:style>
  <w:style w:type="paragraph" w:styleId="28">
    <w:name w:val="List Paragraph"/>
    <w:basedOn w:val="1"/>
    <w:qFormat/>
    <w:uiPriority w:val="34"/>
    <w:pPr>
      <w:ind w:firstLine="420" w:firstLineChars="200"/>
    </w:pPr>
    <w:rPr>
      <w:rFonts w:ascii="Calibri" w:hAnsi="Calibri" w:eastAsia="宋体" w:cs="宋体"/>
    </w:rPr>
  </w:style>
  <w:style w:type="paragraph" w:customStyle="1" w:styleId="29">
    <w:name w:val="Char1"/>
    <w:basedOn w:val="4"/>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30">
    <w:name w:val="文档结构图 Char"/>
    <w:basedOn w:val="14"/>
    <w:link w:val="4"/>
    <w:semiHidden/>
    <w:qFormat/>
    <w:uiPriority w:val="99"/>
    <w:rPr>
      <w:rFonts w:ascii="宋体" w:hAnsiTheme="minorHAnsi"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E76BAC-E325-4C74-A020-BC0BF7243665}">
  <ds:schemaRefs/>
</ds:datastoreItem>
</file>

<file path=docProps/app.xml><?xml version="1.0" encoding="utf-8"?>
<Properties xmlns="http://schemas.openxmlformats.org/officeDocument/2006/extended-properties" xmlns:vt="http://schemas.openxmlformats.org/officeDocument/2006/docPropsVTypes">
  <Template>Normal</Template>
  <Pages>1</Pages>
  <Words>301</Words>
  <Characters>1719</Characters>
  <Lines>14</Lines>
  <Paragraphs>4</Paragraphs>
  <TotalTime>299</TotalTime>
  <ScaleCrop>false</ScaleCrop>
  <LinksUpToDate>false</LinksUpToDate>
  <CharactersWithSpaces>2016</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2020-02-29T08:03:00Z</dcterms:created>
  <dc:creator>Windows 用户</dc:creator>
  <cp:lastModifiedBy>李昂</cp:lastModifiedBy>
  <cp:lastPrinted>2022-01-08T09:25:41Z</cp:lastPrinted>
  <dcterms:modified xsi:type="dcterms:W3CDTF">2022-01-08T09:25:44Z</dcterms:modifi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3222BBB586A6480F95AD67C0C813BC24</vt:lpwstr>
  </property>
</Properties>
</file>